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282. “双城生活，高铁通勤”——高铁、城际通勤（双城生活）消费行为研究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研究对象：跨城通勤（高铁/城际）的上班族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核心问题/变量：双城通勤动机（房价/岗位）、通勤成本（车票/时间）、高铁月票接受、生活安排、满意度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双城通勤动机（房价/岗位）、通勤成本（车票/时间）（满意度）之间存在可检验的关系，且受群体差异（年龄/收入/地区/身份）调节（待验证）；H2：双城通勤动机（房价/岗位）、通勤成本（车票/时间）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🔶"双城通勤"现象（媒体）；✅高铁网络覆盖（国铁集团数据🔶）；✅都市圈通勤化政策（背景）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高铁站/城际客流渠道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🔶"双城通勤"现象（媒体）；✅高铁网络覆盖（国铁集团数据🔶）；✅都市圈通勤化政策（背景）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