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283. “新国标换购，两轮升级”——电动自行车新国标换购消费行为研究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研究对象：使用电动自行车（含超标车待换）的城市居民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核心问题/变量：车辆现状（超标/合规）、换购意愿、价格敏感、以旧换新补贴知晓、品牌选择、安全认知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车辆现状（超标/合规）、换购意愿（安全认知）之间存在可检验的关系，且受群体差异（年龄/收入/地区/身份）调节（待验证）；H2：车辆现状（超标/合规）、换购意愿是影响安全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✅2026年是电动自行车新国标全面落地后的首个完整年份、行业进入规则重塑期、准入门槛提高（浙江展/行业报道）；🔶以旧换新补贴政策（地方政策待核）；✅电动自行车社会保有量超3.5亿辆（行业背景🔶）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电动车门店/社区渠道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✅2026年是电动自行车新国标全面落地后的首个完整年份、行业进入规则重塑期、准入门槛提高（浙江展/行业报道）；🔶以旧换新补贴政策（地方政策待核）；✅电动自行车社会保有量超3.5亿辆（行业背景🔶）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