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354. “第一辆车，二手也香”——二手车消费行为与信任（新能源二手车）研究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确定行业：09_汽车与出行（选择理由：贴合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研究对象：购买过或考虑二手车的消费者（含首购族）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核心问题/变量：购车动机（预算/练手/性价比）、渠道选择（平台/车商）、车况信任、新能源二手车接受、价格感知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H1：购车动机（预算/练手/性价比）、渠道选择（平台/车商）显著影响价格感知（待验证）；H2：不同人群（年龄/收入/城市等级）在上述关系中存在调节作用（待验证）。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✅2025年二手车交易量2010.8万辆首次破2000万、新车与二手车比例首次1:1；✅2026上半年新能源二手车83.9万辆（+22%）、三年保值率差距缩小至不足1.3个百分点；✅跨区域流通加速（流入前五省份）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二手车市场（市场/懂车帝等）现场+线上渠道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✅2025年二手车交易量2010.8万辆首次破2000万、新车与二手车比例首次1:1；✅2026上半年新能源二手车83.9万辆（+22%）、三年保值率差距缩小至不足1.3个百分点；✅跨区域流通加速（流入前五省份）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