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355. “贴膜改色，汽车美容经济”——汽车后市场美容改装（贴膜、改色、内饰）消费研究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topic-selection 规范版（呆塔大师兄（微信：a237658765））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确定行业：09_汽车与出行（选择理由：贴合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研究对象：做过汽车美容/改装的年轻车主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核心问题/变量：美容项目（贴膜/改色/镀晶）、价格接受、个性表达动机、门店信任、复购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H1：美容项目（贴膜/改色/镀晶）、价格接受显著影响复购（待验证）；H2：不同人群（年龄/收入/城市等级）在上述关系中存在调节作用（待验证）。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🔶汽车改装贴膜市场规模（行业报告需核验）；✅汽车保有量超3.4亿辆（公安部数据🔶）；✅年轻车主个性化消费趋势（媒体）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汽车美容门店/车主社群渠道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🔶汽车改装贴膜市场规模（行业报告需核验）；✅汽车保有量超3.4亿辆（公安部数据🔶）；✅年轻车主个性化消费趋势（媒体）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