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396. “中国车跑全球”——国产汽车出海与海外市场消费认知研究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研究对象：汽车出海从业者、关注国货的消费者及海外市场潜在受众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核心问题/变量：国产车出海现状认知、品牌海外形象、海外购买意愿、贸易壁垒（关税）感知、对国内车企/产业链信心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H1：国产车出海现状认知、品牌海外形象显著影响对国内车企/产业链信心（待验证）；H2：不同人群（年龄/收入/城市等级）在上述关系中存在调节作用（待验证）。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✅中国汽车出口规模与政策（商务部、中汽协数据、央视报道）；🔶海外市场销量报告（须下载核验）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出口车企/经销渠道访谈+国内消费者问卷；与063（国内置换）区分：聚焦出海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✅中国汽车出口规模与政策（商务部、中汽协数据、央视报道）；🔶海外市场销量报告（须下载核验）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