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578. “汽车改色膜，个性上路”——汽车改装、改色贴膜消费研究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研究对象：进行汽车改装/改色贴膜的年轻车主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核心问题/变量：改色动机（个性/潮流）、贴膜与喷漆选择、备案合规认知、改装费用与施工、改装社群与晒车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H1：改色动机（个性/潮流）、贴膜与喷漆选择显著影响改装社群与晒车（待验证）；H2：不同人群（年龄/收入/城市等级）在上述关系中存在调节作用（待验证）。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🔶汽车改装市场规模（行业报告须下载核验）；✅机动车改装登记规范（公安部）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改装店问卷+车主社群；区别于224（自驾租车）聚焦改装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🔶汽车改装市场规模（行业报告须下载核验）；✅机动车改装登记规范（公安部）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