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579. “低空观光，换个角度看风景”——低空旅游（直升机、热气球、滑翔伞）消费研究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研究对象：体验低空旅游项目的游客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核心问题/变量：低空旅游项目（直升机/热气球/滑翔伞）体验动机、价格接受度、安全顾虑、与常规景区观光对比、复购意愿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H1：低空旅游项目（直升机/热气球/滑翔伞）体验动机、价格接受度显著影响复购意愿（待验证）；H2：不同人群（年龄/收入/城市等级）在上述关系中存在调节作用（待验证）。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✅低空经济发展政策（国务院、民航局）；🔶低空旅游试点报道（须下载核验）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低空旅游目的地问卷+运营商访谈；区别于008（eVTOL通勤）聚焦旅游场景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✅低空经济发展政策（国务院、民航局）；🔶低空旅游试点报道（须下载核验）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