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580. “错峰充电，谷电省钱”——新能源汽车错峰充电、V2G参与意愿研究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研究对象：新能源汽车车主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核心问题/变量：错峰充电（谷电）认知与执行、充电价格敏感、V2G（车网互动）放电意愿、储能电池顾虑、电网互动激励期待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错峰充电（谷电）认知与执行、充电价格敏感（电网互动激励期待）之间存在可检验的关系，且受群体差异（年龄/收入/地区/身份）调节（待验证）；H2：错峰充电（谷电）认知与执行、充电价格敏感是影响电网互动激励期待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✅车网互动规模化政策（发改委、能源局）；🔶错峰充电参与数据（行业报告须下载核验）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新能源车主社群问卷+电网企业访谈；区别于238（充电桩布局）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✅车网互动规模化政策（发改委、能源局）；🔶错峰充电参与数据（行业报告须下载核验）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