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620. “购车金融方案，零首付的诱惑”——汽车金融（免息、低首付）消费决策研究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研究对象：通过汽车金融（零首付/免息/融资租赁）购车的消费者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核心问题/变量：金融方案认知、利率与隐藏费用感知、零首付意向、提前还款条款、纠纷经历、理性决策教育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H1：金融方案认知、利率与隐藏费用感知显著影响理性决策教育（待验证）；H2：不同人群（年龄/收入/城市等级）在上述关系中存在调节作用（待验证）。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✅汽车金融管理办法（央行、金融监管总局）；🔶汽车金融渗透率数据（行业报告须下载核验）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4S店渠道问卷+金融公司访谈；获奖黑名单核对：近三年无汽车金融获奖题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✅汽车金融管理办法（央行、金融监管总局）；🔶汽车金融渗透率数据（行业报告须下载核验）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