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063. “汽车置换，绿色换新”——汽车报废更新、置换补贴下消费者换车行为研究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研究对象：有换车计划或已置换的车主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核心问题/变量：置换动机、补贴吸引力、新能源偏好、决策因素、满意度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H1：置换动机、补贴吸引力显著影响满意度（待验证）；H2：不同人群（年龄/收入/城市等级）在上述关系中存在调节作用（待验证）。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✅报废旧车换新能源按车价12%补贴（最高2万元）、换燃油10%（最高1.5万元）；直接置换新能源8%（最高1.5万元）（2026年国补统一标准，国家发改委）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4S店/车展/车主社群渠道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✅报废旧车换新能源按车价12%补贴（最高2万元）、换燃油10%（最高1.5万元）；直接置换新能源8%（最高1.5万元）（2026年国补统一标准，国家发改委）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