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641. “以旧换新补贴，申领体验”——汽车以旧换新补贴申领体验研究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研究对象：申领汽车以旧换新/报废更新补贴的车主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核心问题/变量：补贴政策知晓、申领流程（平台/材料）体验、补贴金额感知、旧车残值处理、换新决策影响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补贴政策知晓、申领流程（平台/材料）体验（换新决策影响）之间存在可检验的关系，且受群体差异（年龄/收入/地区/身份）调节（待验证）；H2：补贴政策知晓、申领流程（平台/材料）体验是影响换新决策影响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✅汽车以旧换新实施方案（发改委、商务部）；🔶申领数据（商务部发布须下载核验）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车管/4S渠道问卷；获奖黑名单核对：近三年无汽车以旧换新申领获奖题（区别于063置换意愿）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✅汽车以旧换新实施方案（发改委、商务部）；🔶申领数据（商务部发布须下载核验）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