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762. “二手车分期，年轻人的第一辆车”——二手车金融（分期、延保）消费研究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研究对象：通过金融方案购买二手车（首购）的年轻人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核心问题/变量：二手车选择动机（预算/练手）、车况信任与第三方检测、分期利率感知、延保服务购买、售后纠纷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H1：二手车选择动机（预算/练手）、车况信任与第三方检测显著影响售后纠纷（待验证）；H2：不同人群（年龄/收入/城市等级）在上述关系中存在调节作用（待验证）。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🔶二手车市场规模（中国汽车流通协会须下载核验）；✅二手车流通政策（商务部）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二手车市场渠道问卷+车商访谈；获奖黑名单核对：近三年无二手车金融获奖题（区别于70官方认证二手机）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🔶二手车市场规模（中国汽车流通协会须下载核验）；✅二手车流通政策（商务部）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