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798. “共享汽车退潮，分时租赁凉了”——共享汽车、分时租赁行业调整与用户研究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研究对象：曾用共享汽车/分时租赁的用户、行业从业者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核心问题/变量：共享汽车使用场景（短途/应急）、行业退潮（押金难退/车辆减少）感知、押金维权、替代出行（打车/网约）、行业前景看法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H1：共享汽车使用场景（短途/应急）、行业退潮（押金难退/车辆减少）感知显著影响行业前景看法（待验证）；H2：不同人群（年龄/收入/城市等级）在上述关系中存在调节作用（待验证）。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🔶共享汽车行业调整报道（财经媒体须下载核验）；✅分时租赁规范（交通运输部）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共享汽车用户社群问卷+运营方访谈；获奖黑名单核对：近三年无共享汽车获奖题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🔶共享汽车行业调整报道（财经媒体须下载核验）；✅分时租赁规范（交通运输部）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