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811. “汽车出口热，国产车出海”——国产汽车出口（海外市场）消费与品牌研究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研究对象：购买中国品牌汽车（海外）的消费者、出口企业从业者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核心问题/变量：国产车出海主力（新能源）、海外消费者接受度（性价比/品牌）、本地化（右舵/充电）、出口国选择（欧洲/东南亚）、贸易壁垒感知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H1：国产车出海主力（新能源）、海外消费者接受度（性价比/品牌）显著影响贸易壁垒感知（待验证）；H2：不同人群（年龄/收入/城市等级）在上述关系中存在调节作用（待验证）。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🔶汽车出口数据（中汽协须下载核验）；✅汽车产业出海政策（商务部、工信部）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出口企业访谈+海外经销商问卷；获奖黑名单核对：近三年无汽车出口获奖题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🔶汽车出口数据（中汽协须下载核验）；✅汽车产业出海政策（商务部、工信部）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