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823. “网约车司机，平台抽成之谜”——网约车司机收入（抽成、奖励）与从业感知研究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研究对象：网约车（全职/兼职）司机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核心问题/变量：平台抽成比例（25%上下）感知、流水与实收、奖励规则变化、疲劳与安全、车辆成本（租车/电车）、退车意愿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台抽成比例（25%上下）感知、流水与实收（退车意愿）之间存在可检验的关系，且受群体差异（年龄/收入/地区/身份）调节（待验证）；H2：平台抽成比例（25%上下）感知、流水与实收是影响退车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🔶网约车抽成透明化规定（交通运输部）；🔶司机收入报道与数据（须下载核验）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司机社群问卷+平台访谈；获奖黑名单核对：近三年无网约车司机收入获奖题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🔶网约车抽成透明化规定（交通运输部）；🔶司机收入报道与数据（须下载核验）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