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845. “汽车后市场，4S店流失”——汽车保养（4S店vs独立店）选择研究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研究对象：出保/保内车主（对比保养渠道）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核心问题/变量：保养渠道选择（4S/途虎/路边店）、价格与服务透明、官方质保绑定顾虑、配件真伪信任、新能源保养特殊性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养渠道选择（4S/途虎/路边店）、价格与服务透明（新能源保养特殊性）之间存在可检验的关系，且受群体差异（年龄/收入/地区/身份）调节（待验证）；H2：保养渠道选择（4S/途虎/路边店）、价格与服务透明是影响新能源保养特殊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🔶汽车后市场规范与连锁化政策（交通运输部）；🔶后市场规模数据（行业报告须下载核验）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车主社群问卷+汽修连锁访谈；获奖黑名单核对：近三年无汽车保养渠道获奖题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🔶汽车后市场规范与连锁化政策（交通运输部）；🔶后市场规模数据（行业报告须下载核验）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