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882. “高龄车年检新政，老车还能开吗”——老旧机动车年检与报废更新研究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研究对象：拥有10年以上老旧燃油车的车主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核心问题/变量：老车年检难度（OBD/尾气）、强制报废与淘汰补贴、老车车况与养护成本、置换新能源意愿、政策感知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老车年检难度（OBD/尾气）、强制报废与淘汰补贴（政策感知）之间存在可检验的关系，且受群体差异（年龄/收入/地区/身份）调节（待验证）；H2：老车年检难度（OBD/尾气）、强制报废与淘汰补贴是影响政策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🔶机动车排放与报废新规（生态环境部、商务部）；🔶老旧车淘汰数据（须下载核验）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检测场渠道+车主问卷；获奖黑名单核对：近三年无老旧车年检获奖题（区别于733年检泛题、641以旧换新）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🔶机动车排放与报废新规（生态环境部、商务部）；🔶老旧车淘汰数据（须下载核验）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