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894. “车险人伤理赔，维权难吗”——车险理赔（人伤、定损争议）体验研究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研究对象：经历车险理赔（含人伤/定损争议）的车主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核心问题/变量：理赔流程（报案/定损/赔付）时长、定损金额争议（4S店vs保险）、人伤垫付协商、免赔/加费条款、满意度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理赔流程（报案/定损/赔付）时长、定损金额争议（4S店vs保险）（满意度）之间存在可检验的关系，且受群体差异（年龄/收入/地区/身份）调节（待验证）；H2：理赔流程（报案/定损/赔付）时长、定损金额争议（4S店vs保险）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🔶车险综合改革政策（金融监管总局）；🔶车险理赔投诉数据（消协须下载核验）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车主社群问卷+定损员访谈；获奖黑名单核对：近三年无车险理赔获奖题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🔶车险综合改革政策（金融监管总局）；🔶车险理赔投诉数据（消协须下载核验）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