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909. “商用车换电，重卡补能”——新能源重卡、商用车换电模式推广研究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研究对象：物流企业（重卡运营方）、换电站运营商、货车司机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核心问题/变量：重卡换电模式（电池租赁）、换电时长优势、换电站布局与成本、与传统加油/充电对比、推广障碍、政策补贴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重卡换电模式（电池租赁）、换电时长优势（政策补贴）之间存在可检验的关系，且受群体差异（年龄/收入/地区/身份）调节（待验证）；H2：重卡换电模式（电池租赁）、换电时长优势是影响政策补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🔶重卡换电试点政策（工信部、交通运输部）；🔶换电重卡数据（行业报告须下载核验）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物流企业问卷+换电运营商访谈；获奖黑名单核对：近三年无重卡换电获奖题（区别于606两轮换电）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🔶重卡换电试点政策（工信部、交通运输部）；🔶换电重卡数据（行业报告须下载核验）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