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962. “车辆召回调修，信任修复”——汽车召回（质量问题）车主体验研究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研究对象：经历车辆召回（缺陷/OTA升级）的车主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核心问题/变量：召回通知接收与4S店联系、缺陷问题（刹车/电池）、OTA升级（线上召回）体验、品牌信任影响、补偿感知、再购意愿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H1：召回通知接收与4S店联系、缺陷问题（刹车/电池）显著影响再购意愿（待验证）；H2：不同人群（年龄/收入/城市等级）在上述关系中存在调节作用（待验证）。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🔶汽车召回管理条例（市场监管总局）；🔶召回数据（国家缺陷产品管理中心须下载核验）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车主问卷+4S店访谈；获奖黑名单核对：近三年无汽车召回获奖题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🔶汽车召回管理条例（市场监管总局）；🔶召回数据（国家缺陷产品管理中心须下载核验）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