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981. “二手车出口，中国车再出海”——二手车出口（海外市场）业务研究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研究对象：二手车出口企业、海外买家、监管部门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核心问题/变量：二手车出口目的国（中亚/非洲/俄罗斯）、车源与检测、外汇与物流、海外售后缺失、政策支持（试点）、竞争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手车出口目的国（中亚/非洲/俄罗斯）、车源与检测（竞争）之间存在可检验的关系，且受群体差异（年龄/收入/地区/身份）调节（待验证）；H2：二手车出口目的国（中亚/非洲/俄罗斯）、车源与检测是影响竞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🔶二手车出口政策（商务部、公安部）；🔶出口数据（海关总署须下载核验）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出口企业访谈+商务部门数据；获奖黑名单核对：近三年无二手车出口获奖题（区别于811新车出口/762二手车金融）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🔶二手车出口政策（商务部、公安部）；🔶出口数据（海关总署须下载核验）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