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994. “汽车改灯、贴膜，合规改装”——汽车个性化改装（贴膜、改灯、音响）合规研究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确定行业：09_汽车与出行（选择理由：贴合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研究对象：做过汽车改装（贴膜/改灯/轮毂）的车主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核心问题/变量：改装项目（外观/性能）、备案与年检合规、改装成本、被查/处罚经历、改装店选择、与保险关系（改件理赔）、驾驶乐趣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H1：改装项目（外观/性能）、备案与年检合规显著影响驾驶乐趣（待验证）；H2：不同人群（年龄/收入/城市等级）在上述关系中存在调节作用（待验证）。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🔶机动车登记与改装管理规定（公安部）；🔶改装市场数据（行业报告须下载核验）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改装店渠道+车主问卷；获奖黑名单核对：近三年无汽车改装获奖题（区别于578改色膜泛题）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🔶机动车登记与改装管理规定（公安部）；🔶改装市场数据（行业报告须下载核验）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