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1040. “跨境理财通，湾区财富”——跨境理财通（大湾区）投资者使用研究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研究对象：参与跨境理财通的大湾区投资者（北向/南向）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核心问题/变量：跨境投资动机（分散/利率差）、额度使用（150万南向）、产品选择（存款/基金）、两地规则认知、推广渠道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境投资动机（分散/利率差）、额度使用（150万南向）（推广渠道）之间存在可检验的关系，且受群体差异（年龄/收入/地区/身份）调节（待验证）；H2：跨境投资动机（分散/利率差）、额度使用（150万南向）是影响推广渠道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🔶跨境理财通业务试点政策（央行、金融监管总局）；🔶跨境理财通数据（须下载核验）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银行渠道问卷+大湾区机构访谈；获奖黑名单核对：近三年无跨境理财通获奖题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🔶跨境理财通业务试点政策（央行、金融监管总局）；🔶跨境理财通数据（须下载核验）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