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1152. “分红险回归，稳字当头”——分红险、储蓄险（预定利率下调后）购买研究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研究对象：购买分红险/储蓄型保险（增额寿/年金）的消费者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核心问题/变量：分红险选择动机（锁定利率/稳健）、预定利率下调（2.0%）影响、分红实现率（演示vs实际）、银保渠道、退保率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H1：分红险选择动机（锁定利率/稳健）、预定利率下调（2.0%）影响显著影响退保率（待验证）；H2：不同人群（年龄/收入/城市等级）在上述关系中存在调节作用（待验证）。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🔶人身险预定利率调整与分红险规范（金融监管总局）；🔶保险市场数据（行业报告须下载核验）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保险渠道问卷+代理人访谈；获奖黑名单核对：近三年无分红险获奖题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🔶人身险预定利率调整与分红险规范（金融监管总局）；🔶保险市场数据（行业报告须下载核验）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