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1153. “惠民保升级，带病也能保”——惠民保（城市定制险）续保与理赔体验研究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研究对象：参保惠民保（含续保/理赔）的居民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核心问题/变量：惠民保参保率与续保意愿、带病投保（既往症可保）、免赔额体验、理赔流程、与百万医疗对比、政府背书信任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H1：惠民保参保率与续保意愿、带病投保（既往症可保）显著影响政府背书信任（待验证）；H2：不同人群（年龄/收入/城市等级）在上述关系中存在调节作用（待验证）。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🔶城市定制型商业医疗险规范（金融监管总局）；🔶惠民保参保数据（行业报告须下载核验）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参保用户问卷+保险公司访谈；获奖黑名单核对：近三年无惠民保获奖题（区别于582惠民保泛题，聚焦续保理赔体验）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🔶城市定制型商业医疗险规范（金融监管总局）；🔶惠民保参保数据（行业报告须下载核验）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