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1156. “ETF投资者，指数也疯狂”——指数基金、ETF投资者行为（2026扩容）研究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研究对象：投资指数基金/ETF（含跨境ETF）的个人投资者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核心问题/变量：ETF选择（宽基/行业/跨境）、定投与波段、ETF规模扩容（国家队增持）、场内外溢价、投资体验（2025-2026行情）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ETF选择（宽基/行业/跨境）、定投与波段（投资体验（2025-2026行情））之间存在可检验的关系，且受群体差异（年龄/收入/地区/身份）调节（待验证）；H2：ETF选择（宽基/行业/跨境）、定投与波段是影响投资体验（2025-2026行情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🔶公募基金与ETF发展政策（证监会）；🔶ETF规模数据（交易所须下载核验）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基金平台问卷+基金公司访谈；获奖黑名单核对：近三年无ETF投资行为获奖题（区别于885 ETF定投，聚焦市场行为扩容）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🔶公募基金与ETF发展政策（证监会）；🔶ETF规模数据（交易所须下载核验）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