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1158. “信用卡新规，息费透明化”——信用卡新规（息费、催收）用户体验研究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确定行业：10_金融保险与理财（选择理由：贴合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研究对象：信用卡用户（新规后息费透明/分期协商）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核心问题/变量：信用卡息费认知（分期手续费）、新规影响（透明展示）、逾期协商（个性化分期）、催收规范感知、消费信贷使用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H1：信用卡息费认知（分期手续费）、新规影响（透明展示）显著影响消费信贷使用（待验证）；H2：不同人群（年龄/收入/城市等级）在上述关系中存在调节作用（待验证）。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🔶信用卡业务监管新规（金融监管总局）；🔶信用卡市场数据（须下载核验）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卡户问卷+发卡行访谈；获奖黑名单核对：近三年无信用卡新规获奖题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🔶信用卡业务监管新规（金融监管总局）；🔶信用卡市场数据（须下载核验）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