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1160. “实物黄金热，金店排队”——实物黄金消费（金饰、金条）2026热潮研究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研究对象：购买实物黄金（金饰/金条）的消费者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核心问题/变量：金价高位（900元+/克）、金饰消费（结婚/悦己）、金条投资、金店促销（工费减免）、回收变现、消费与投资边界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H1：金价高位（900元+/克）、金饰消费（结婚/悦己）显著影响消费与投资边界（待验证）；H2：不同人群（年龄/收入/城市等级）在上述关系中存在调节作用（待验证）。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🔶黄金市场与首饰行业监管（央行、市场监管总局）；🔶金价与金饰消费数据（中国黄金协会须下载核验）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金店渠道问卷+消费者访谈；获奖黑名单核对：近三年无实物黄金消费获奖题（区别于407/585/866黄金投资回收，聚焦金饰消费端）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🔶黄金市场与首饰行业监管（央行、市场监管总局）；🔶金价与金饰消费数据（中国黄金协会须下载核验）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