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1381. “金店以旧换新，换金还是换坑”——金饰以旧换新（门店规则）消费研究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研究对象：参与金饰以旧换新（门店促销）的消费者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核心问题/变量：以旧换新规则（克减/损耗/工费）、换新溢价（旧金折价低）、金店话术（增值服务）、消费者知情度、纠纷维权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以旧换新规则（克减/损耗/工费）、换新溢价（旧金折价低）（纠纷维权）之间存在可检验的关系，且受群体差异（年龄/收入/地区/身份）调节（待验证）；H2：以旧换新规则（克减/损耗/工费）、换新溢价（旧金折价低）是影响纠纷维权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🔶贵金属饰品计量与促销规范（市场监管总局）；🔶金饰换新纠纷数据（消协须下载核验）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金店渠道+消费者问卷；获奖黑名单核对：近三年无金饰以旧换新获奖题（区别于407/1160黄金消费，聚焦换新规则）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🔶贵金属饰品计量与促销规范（市场监管总局）；🔶金饰换新纠纷数据（消协须下载核验）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