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1382. “存款刚兑不再，理财要自负盈亏”——理财产品净值化（亏损）投资者研究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研究对象：购买净值型银行理财（经历波动/亏损）的投资者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核心问题/变量：理财净值化（破刚兑）、净值波动（债市调整）、亏损经历（R2也绿）、风险等级认知、银行销售适当性、投资者教育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H1：理财净值化（破刚兑）、净值波动（债市调整）显著影响投资者教育（待验证）；H2：不同人群（年龄/收入/城市等级）在上述关系中存在调节作用（待验证）。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🔶资管新规与理财业务规范（金融监管总局）；🔶理财净值数据（银行业报告须下载核验）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理财投资者问卷+银行财富部门访谈；获奖黑名单核对：近三年无理财净值化获奖题（区别于613银行理财泛题，聚焦净值波动与刚兑打破）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🔶资管新规与理财业务规范（金融监管总局）；🔶理财净值数据（银行业报告须下载核验）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