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1383. “养老理财养老目标基金，稳健养老”——养老理财产品（个人养老金投资）研究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确定行业：10_金融保险与理财（选择理由：贴合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研究对象：通过个人养老金账户购买养老理财/养老目标基金的投资者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核心问题/变量：个人养老金产品选择（养老理财/基金/储蓄）、税收递延（12000额度）、产品收益与回撤、领取规则、银行渠道、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H1：个人养老金产品选择（养老理财/基金/储蓄）、税收递延（12000额度）显著影响银行渠道（待验证）；H2：不同人群（年龄/收入/城市等级）在上述关系中存在调节作用（待验证）。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🔶个人养老金制度与养老金融政策（人社部、金融监管总局）；🔶个人养老金产品数据（须下载核验）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个人养老金投资者问卷+银行/基金访谈；获奖黑名单核对：近三年无养老理财获奖题（区别于241/693个人养老金泛题，聚焦养老金融产品）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🔶个人养老金制度与养老金融政策（人社部、金融监管总局）；🔶个人养老金产品数据（须下载核验）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