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1386. “炒股重回年轻，00后开户潮”——00后入市（炒股开户）行为研究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研究对象：新开户进入股市（00后/学生）的年轻投资者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核心问题/变量：年轻股民入市（开户潮）、投资知识来源（短视频）、风险承受（追涨杀跌）、小资金试水（百元股）、理性教育需求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H1：年轻股民入市（开户潮）、投资知识来源（短视频）显著影响理性教育需求（待验证）；H2：不同人群（年龄/收入/城市等级）在上述关系中存在调节作用（待验证）。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🔶投资者教育与证券监管（证监会）；🔶新开户数据（交易所须下载核验）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年轻投资者问卷+券商营业部访谈；获奖黑名单核对：近三年无00后炒股获奖题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🔶投资者教育与证券监管（证监会）；🔶新开户数据（交易所须下载核验）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