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1387. “数字收藏品，年轻新玩法”——数字藏品（数藏）消费与风险研究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研究对象：购买过数字藏品（平台/App）的年轻人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核心问题/变量：数字藏品消费（发行抢购）、炒作与价格崩盘、平台暴雷（跑路）、合规转型（未发行/二创）、预期失望、收藏心理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H1：数字藏品消费（发行抢购）、炒作与价格崩盘显著影响收藏心理（待验证）；H2：不同人群（年龄/收入/城市等级）在上述关系中存在调节作用（待验证）。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🔶数字藏品与NFT监管（央行、网信办）；🔶数藏市场数据（须下载核验）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数藏玩家问卷+平台访谈；获奖黑名单核对：近三年无数藏获奖题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🔶数字藏品与NFT监管（央行、网信办）；🔶数藏市场数据（须下载核验）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