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241. “个人养老金，开不开户”——个人养老金制度参与意愿与产品选择研究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研究对象：25—50岁在职人群（缴社保、可自主开户）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核心问题/变量：制度认知、税收优惠感知、开户意愿、产品偏好（储蓄/基金/保险/国债）、顾虑（锁定周期/收益）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制度认知、税收优惠感知（顾虑（锁定周期/收益））之间存在可检验的关系，且受群体差异（年龄/收入/地区/身份）调节（待验证）；H2：制度认知、税收优惠感知是影响顾虑（锁定周期/收益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截至2026年9月底基本养老保险参保10.79亿人、参保率超95%；✅官方明确"扎实推进个人养老金制度实施"、扩大企业年金覆盖面试点；✅2026年6月储蓄国债纳入个人养老金产品池（山东省发改委）；✅京东科技个人养老金对接13家银行、产品超300只、开户破200万（中国网财经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银行网点/企业HR渠道；与养老金融接轨、政策新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截至2026年9月底基本养老保险参保10.79亿人、参保率超95%；✅官方明确"扎实推进个人养老金制度实施"、扩大企业年金覆盖面试点；✅2026年6月储蓄国债纳入个人养老金产品池（山东省发改委）；✅京东科技个人养老金对接13家银行、产品超300只、开户破200万（中国网财经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