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242. “数字人民币，钱生钱”——数字人民币2.0使用体验与场景接受度研究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研究对象：开立过数字人民币钱包的消费者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核心问题/变量：使用场景（支付/补贴/跨境）、2.0计息知晓、替代扫码意愿、使用频次、满意度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H1：使用场景（支付/补贴/跨境）、2.0计息知晓显著影响满意度（待验证）；H2：不同人群（年龄/收入/城市等级）在上述关系中存在调节作用（待验证）。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人民币2.0"存款货币"时代：2026年1月1日起实名钱包余额可计付利息；✅截至2025年11月末个人钱包开立2.3亿个、累计交易金额16.7万亿元、跨境支付占比约95.3%；✅江苏2026上半年数币交易新增7万亿元（+215%）、湖南落地商户63.17万家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银行/试点商户渠道；政策前沿（计息新规）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人民币2.0"存款货币"时代：2026年1月1日起实名钱包余额可计付利息；✅截至2025年11月末个人钱包开立2.3亿个、累计交易金额16.7万亿元、跨境支付占比约95.3%；✅江苏2026上半年数币交易新增7万亿元（+215%）、湖南落地商户63.17万家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