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401. “惠民保，划算吗”——惠民保（沪惠保、穗岁康等）参保意愿与续保行为研究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研究对象：参保过或考虑参保惠民保的居民（30—70岁）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核心问题/变量：参保动机（低价/大病兜底）、理赔认知、续保决策、犹豫因素（报销门槛/既往症）、政策了解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保动机（低价/大病兜底）、理赔认知（政策了解）之间存在可检验的关系，且受群体差异（年龄/收入/地区/身份）调节（待验证）；H2：参保动机（低价/大病兜底）、理赔认知是影响政策了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✅2026年全国超90%惠民保项目参保人数下滑、部分华东城市降幅近15%；✅2023年53款产品参保率均值仅18.9%（低于70%-80%有效分散风险临界值）；✅阿克苏2026年度参保率12.86%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社区医保宣传点+线上问卷；民生切题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✅2026年全国超90%惠民保项目参保人数下滑、部分华东城市降幅近15%；✅2023年53款产品参保率均值仅18.9%（低于70%-80%有效分散风险临界值）；✅阿克苏2026年度参保率12.86%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