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402. “连续参保有优待”——惠民保连续参保优待机制认知与影响研究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建议地区：深圳（可按省/市细化抽样框）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确定行业：10_金融保险与理财（选择理由：贴合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研究对象：惠民保参保人（含连续多年参保）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核心问题/变量：优待规则知晓（免赔额降低/报销比例提升）、连续参保意愿、对产品信任、流失原因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H1：优待规则知晓（免赔额降低/报销比例提升）、连续参保意愿显著影响流失原因（待验证）；H2：不同人群（年龄/收入/城市等级）在上述关系中存在调节作用（待验证）。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✅沪惠保连续三年无理赔参保人免赔额最低可降至1万元、既往症责任赔付比例统一调整为30%；✅深圳惠民保连续3年参保无理赔用户报销比例提升至90%；✅杭州"西湖益联保"150元基础版/300元升级版分层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惠民保官方渠道+参保人社群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✅沪惠保连续三年无理赔参保人免赔额最低可降至1万元、既往症责任赔付比例统一调整为30%；✅深圳惠民保连续3年参保无理赔用户报销比例提升至90%；✅杭州"西湖益联保"150元基础版/300元升级版分层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