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403. “补充险，多一层防护”——商业补充健康险（百万医疗、重疾）购买意愿研究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研究对象：30—55岁有家庭责任人群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核心问题/变量：已有保障结构（社保/商保）、购买动机、保额与保费接受、理赔流程体验、线上投保信任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H1：已有保障结构（社保/商保）、购买动机显著影响线上投保信任（待验证）；H2：不同人群（年龄/收入/城市等级）在上述关系中存在调节作用（待验证）。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🔶商业健康险市场（银保监/行业数据需核验）；✅"惠民保+百万医疗"组合讨论（媒体）；✅个人养老金/第三支柱政策背景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保险经纪平台用户渠道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🔶商业健康险市场（银保监/行业数据需核验）；✅"惠民保+百万医疗"组合讨论（媒体）；✅个人养老金/第三支柱政策背景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