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404. “医保个账，全家共用”——医保个人账户共济（家庭共济）政策使用研究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研究对象：使用医保个账共济的家庭（为配偶/父母/子女代缴或支付）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核心问题/变量：共济政策知晓、使用场景（购药/参保缴费）、操作便利、跨省共济体验、满意度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H1：共济政策知晓、使用场景（购药/参保缴费）显著影响满意度（待验证）；H2：不同人群（年龄/收入/城市等级）在上述关系中存在调节作用（待验证）。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✅职工医保门诊共济改革（国家医保局政策背景）；🔶医保个账跨省共济（国家医保局数据需核验）；✅医保电子凭证使用（已核验）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医院医保窗口/社区渠道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✅职工医保门诊共济改革（国家医保局政策背景）；🔶医保个账跨省共济（国家医保局数据需核验）；✅医保电子凭证使用（已核验）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