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405. “年轻人，你配保险了吗”——Z世代商业保险配置与认知研究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研究对象：18—35岁（已购或考虑购保）青年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核心问题/变量：保险产品（医疗/意外/重疾/储蓄险）、购买渠道（线上/代理人）、认知误区、保费预算、避坑意识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H1：保险产品（医疗/意外/重疾/储蓄险）、购买渠道（线上/代理人）显著影响避坑意识（待验证）；H2：不同人群（年龄/收入/城市等级）在上述关系中存在调节作用（待验证）。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🔶年轻人保险消费（行业报告需下载）；✅惠民保年轻参保数据（媒体）；✅防保险销售误导监管（金融监管总局政策背景）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高校+职场青年线上问卷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🔶年轻人保险消费（行业报告需下载）；✅惠民保年轻参保数据（媒体）；✅防保险销售误导监管（金融监管总局政策背景）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