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406. “攒金豆，年轻人理财新姿势”——年轻人群“攒金豆”、小克重黄金消费研究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研究对象：购买过金豆/小克重金饰的 18—35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核心问题/变量：购买动机（保值/悦己/仪式感）、购买频次与克重、价格敏感（金价波动）、回收变现认知、复购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H1：购买动机（保值/悦己/仪式感）、购买频次与克重显著影响复购（待验证）；H2：不同人群（年龄/收入/城市等级）在上述关系中存在调节作用（待验证）。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✅1—5克"小金豆"、硬足金挂坠成门店备货重点、入手门槛低；✅2026年黄金消费从"投资保值"转向"悦己+保值"双重属性；✅2026国庆品牌金饰挂牌价从高点1360元/克回落到900—1250元/克、带动金店客流暴涨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金店现场+线上金豆社群；贴近年轻人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✅1—5克"小金豆"、硬足金挂坠成门店备货重点、入手门槛低；✅2026年黄金消费从"投资保值"转向"悦己+保值"双重属性；✅2026国庆品牌金饰挂牌价从高点1360元/克回落到900—1250元/克、带动金店客流暴涨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