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407. “旧金变现，以旧换新”——黄金回收、以旧换新消费行为研究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研究对象：做过黄金回收或以旧换新的消费者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核心问题/变量：处理渠道（金店/线上回收）、折价损耗感知、回收信任（称重/克扣）、以旧换新决策、风险经历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H1：处理渠道（金店/线上回收）、折价损耗感知显著影响风险经历（待验证）；H2：不同人群（年龄/收入/城市等级）在上述关系中存在调节作用（待验证）。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🔶黄金回收乱象（央视3·15/媒体曝光需引原文）；✅金价波动下"买金—回收"闭环（媒体）；✅金店客流暴涨（2026国庆）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金店/回收门店渠道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🔶黄金回收乱象（央视3·15/媒体曝光需引原文）；✅金价波动下"买金—回收"闭环（媒体）；✅金店客流暴涨（2026国庆）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