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408. “年轻人理财，稳健为王”——年轻人（18—30岁）理财观念与产品选择研究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研究对象：有理财行为的年轻人（余额宝/基金/银行理财）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核心问题/变量：理财渠道、风险偏好（稳健为主）、收益预期、理财学习（财商内容）、踩坑经历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H1：理财渠道、风险偏好（稳健为主）显著影响踩坑经历（待验证）；H2：不同人群（年龄/收入/城市等级）在上述关系中存在调节作用（待验证）。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🔶年轻人理财报告（蚂蚁/招行报告需下载）；✅个人养老金开户热（241题衔接）；✅"00后理财"媒体议题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高校/职场青年线上问卷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🔶年轻人理财报告（蚂蚁/招行报告需下载）；✅个人养老金开户热（241题衔接）；✅"00后理财"媒体议题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