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464. “信用分，生活的通行证”——个人信用分（芝麻分、微信支付分）场景应用研究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研究对象：使用信用分的用户（免押金/先用后付/信用住）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核心问题/变量：使用场景、免押金便利感知、分高低的权益差异、隐私顾虑（数据画像）、查询频率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H1：使用场景、免押金便利感知显著影响查询频率（待验证）；H2：不同人群（年龄/收入/城市等级）在上述关系中存在调节作用（待验证）。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🔶信用分用户规模（蚂蚁集团数据需核验）；✅《征信业务管理办法》（央行政策背景）；✅"信用+消费"普惠场景（媒体）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支付宝/微信用户线上问卷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🔶信用分用户规模（蚂蚁集团数据需核验）；✅《征信业务管理办法》（央行政策背景）；✅"信用+消费"普惠场景（媒体）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