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477. “账单AA制，小家庭财务”——年轻家庭财务管理（AA制、共同账户）研究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研究对象：25—40岁已婚/同居年轻家庭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核心问题/变量：财务模式（AA/共同/混合）、大额支出决策（买房/育儿）、财务透明、矛盾点、财富规划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H1：财务模式（AA/共同/混合）、大额支出决策（买房/育儿）显著影响财富规划（待验证）；H2：不同人群（年龄/收入/城市等级）在上述关系中存在调节作用（待验证）。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🔶"AA制婚姻"讨论（媒体热议需引原文）；✅家庭消费金融（第九轮消费金融背景）；✅婚姻家庭消费研究（学术）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年轻家庭线上问卷（夫妻群）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🔶"AA制婚姻"讨论（媒体热议需引原文）；✅家庭消费金融（第九轮消费金融背景）；✅婚姻家庭消费研究（学术）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