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581. “数字人民币红包，花不花”——数字人民币消费红包使用研究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研究对象：领取过数字人民币消费红包的市民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核心问题/变量：红包领取与使用率、使用场景（商超/餐饮/公交）、对数字人民币接受度提升、未使用原因、与微信支付宝对比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H1：红包领取与使用率、使用场景（商超/餐饮/公交）显著影响与微信支付宝对比（待验证）；H2：不同人群（年龄/收入/城市等级）在上述关系中存在调节作用（待验证）。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✅数字人民币试点政策（央行）；🔶红包发放与使用数据（试点城市公告须下载核验）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试点城市问卷+银行访谈；区别于330（适老化）聚焦红包营销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✅数字人民币试点政策（央行）；🔶红包发放与使用数据（试点城市公告须下载核验）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