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582. “惠民保，值不值得买”——城市惠民保参保与续保意愿研究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项目类型：社会调查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研究阶段：mid（中期：消费意愿及影响因素）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确定行业：10_金融保险与理财（选择理由：贴合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研究对象：投保惠民保的城市居民、未投保者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核心问题/变量：惠民保认知、参保动机（价格/既往症可保）、理赔体验、续保意愿、与百万医疗对比、健康告知信任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惠民保认知、参保动机（价格/既往症可保）（健康告知信任）之间存在可检验的关系，且受群体差异（年龄/收入/地区/身份）调节（待验证）；H2：惠民保认知、参保动机（价格/既往症可保）是影响健康告知信任的关键因素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🔶惠民保发展报告（行业报告须下载核验）；✅多层次医疗保障政策（医保局）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参保社群问卷+保险公司访谈；区别于245（养老金融）聚焦健康险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🔶惠民保发展报告（行业报告须下载核验）；✅多层次医疗保障政策（医保局）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