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584. “少儿财商课，钱商从娃娃抓起”——儿童财商教育消费研究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研究对象：给孩子报财商课/买财商绘本的家长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核心问题/变量：财商教育动机、课程与绘本消费、零花钱管理实践、亲子金钱观教育、对财商机构信任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H1：财商教育动机、课程与绘本消费显著影响对财商机构信任（待验证）；H2：不同人群（年龄/收入/城市等级）在上述关系中存在调节作用（待验证）。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🔶少儿财商教育市场报道（教育媒体须下载核验）；✅儿童友好与素质教育政策（教育部）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亲子社群问卷+教育机构访谈；区别于083（托育）聚焦财商内容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🔶少儿财商教育市场报道（教育媒体须下载核验）；✅儿童友好与素质教育政策（教育部）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