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585. “攒金豆子，年轻人的存钱法”——金豆、黄金积存式消费投资研究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研究对象：购买金豆、金条积存的年轻人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核心问题/变量：买金动机（避险/攒钱/首饰）、克重与频次、金价波动认知、积存金/金豆豆渠道选择、与基金存款对比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H1：买金动机（避险/攒钱/首饰）、克重与频次显著影响与基金存款对比（待验证）；H2：不同人群（年龄/收入/城市等级）在上述关系中存在调节作用（待验证）。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✅金价走势与黄金消费数据（央行、金交所）；🔶年轻人攒金话题（媒体须下载核验）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金店渠道问卷+黄金社群；区别于407（黄金回收）聚焦积存消费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✅金价走势与黄金消费数据（央行、金交所）；🔶年轻人攒金话题（媒体须下载核验）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