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647. “大学生信用卡，花呗的诱惑”——大学生信贷消费与金融素养研究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研究对象：在校大学生（使用花呗/信用卡/校园贷）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核心问题/变量：信贷产品使用率、消费场景分布、额度与逾期、金融素养水平、理性消费教育需求、家长态度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H1：信贷产品使用率、消费场景分布显著影响家长态度（待验证）；H2：不同人群（年龄/收入/城市等级）在上述关系中存在调节作用（待验证）。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✅大学生信贷规范监管（金融监管总局、银保监）；🔶大学生消费信贷数据（行业报告须下载核验）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高校渠道问卷；获奖黑名单核对：近三年无大学生信贷获奖题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✅大学生信贷规范监管（金融监管总局、银保监）；🔶大学生消费信贷数据（行业报告须下载核验）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